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城邦的正义与灵魂的正义—对柏拉图《理想国》的一种批判性分析</w:t>
      </w:r>
    </w:p>
    <w:p>
      <w:r>
        <w:rPr>
          <w:rFonts w:ascii="宋体" w:hAnsi="宋体" w:eastAsia="宋体"/>
          <w:sz w:val="24"/>
        </w:rPr>
        <w:t>王玉峰著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城邦的正义与灵魂的正义—对柏拉图《理想国》的一种批判性分析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王玉峰著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本书出售、求购地址：https://www.jiaokey.com/book/detail/12527811.html</w:t>
      </w:r>
    </w:p>
    <w:p>
      <w:r>
        <w:t>更多相关图书推荐：https://www.jiaokey.com</w:t>
      </w:r>
    </w:p>
    <w:p>
      <w:r>
        <w:t>王玉峰著 其他作品：https://www.jiaokey.com/tag/王玉峰著.html</w:t>
      </w:r>
    </w:p>
    <w:p>
      <w:r>
        <w:t>北京大学出版社 出版图书：https://www.jiaokey.com/tag/北京大学出版社.html</w:t>
      </w:r>
    </w:p>
    <w:p>
      <w:r>
        <w:t>关键词搜索：https://www.jiaokey.com/tag/城邦的正义与灵魂的正义—对柏拉图《理想国》的一种批判性分析.html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