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</w:t>
      </w:r>
    </w:p>
    <w:p>
      <w:r>
        <w:rPr>
          <w:rFonts w:ascii="宋体" w:hAnsi="宋体" w:eastAsia="宋体"/>
          <w:sz w:val="24"/>
        </w:rPr>
        <w:t>格·尼古拉耶娃著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格·尼古拉耶娃著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本书出售、求购地址：https://www.jiaokey.com/book/detail/12525998.html</w:t>
      </w:r>
    </w:p>
    <w:p>
      <w:r>
        <w:t>更多相关图书推荐：https://www.jiaokey.com</w:t>
      </w:r>
    </w:p>
    <w:p>
      <w:r>
        <w:t>格·尼古拉耶娃著 其他作品：https://www.jiaokey.com/tag/格·尼古拉耶娃著.html</w:t>
      </w:r>
    </w:p>
    <w:p>
      <w:r>
        <w:t>上海通联书店 出版图书：https://www.jiaokey.com/tag/上海通联书店.html</w:t>
      </w:r>
    </w:p>
    <w:p>
      <w:r>
        <w:t>关键词搜索：https://www.jiaokey.com/tag/收获.html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