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资料结构与问题解法</w:t>
      </w:r>
    </w:p>
    <w:p>
      <w:r>
        <w:rPr>
          <w:rFonts w:ascii="宋体" w:hAnsi="宋体" w:eastAsia="宋体"/>
          <w:sz w:val="24"/>
        </w:rPr>
        <w:t>海尔曼（Helman，P.）著；吴正己，张炎良译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资料结构与问题解法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海尔曼（Helman，P.）著；吴正己，张炎良译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本书出售、求购地址：https://www.jiaokey.com/book/detail/12525692.html</w:t>
      </w:r>
    </w:p>
    <w:p>
      <w:r>
        <w:t>更多相关图书推荐：https://www.jiaokey.com</w:t>
      </w:r>
    </w:p>
    <w:p>
      <w:r>
        <w:t>海尔曼（Helman，P.）著；吴正己，张炎良译 其他作品：https://www.jiaokey.com/tag/海尔曼（Helman，P.）著；吴正己，张炎良译.html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关键词搜索：https://www.jiaokey.com/tag/资料结构与问题解法.html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