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金属的磁场形变原理与钢铁的磁场形变热处理效益</w:t>
      </w:r>
    </w:p>
    <w:p>
      <w:r>
        <w:rPr>
          <w:rFonts w:ascii="宋体" w:hAnsi="宋体" w:eastAsia="宋体"/>
          <w:sz w:val="24"/>
        </w:rPr>
        <w:t>孙忠继著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金属的磁场形变原理与钢铁的磁场形变热处理效益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本书出售、求购地址：https://www.jiaokey.com/book/detail/12524786.html</w:t>
      </w:r>
    </w:p>
    <w:p>
      <w:r>
        <w:t>更多相关图书推荐：https://www.jiaokey.com</w:t>
      </w:r>
    </w:p>
    <w:p>
      <w:r>
        <w:t>孙忠继著 其他作品：https://www.jiaokey.com/tag/孙忠继著.html</w:t>
      </w:r>
    </w:p>
    <w:p>
      <w:r>
        <w:t>关键词搜索：https://www.jiaokey.com/tag/金属的磁场形变原理与钢铁的磁场形变热处理效益.html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