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水土保持农业技术措施</w:t>
      </w:r>
    </w:p>
    <w:p>
      <w:r>
        <w:rPr>
          <w:rFonts w:ascii="宋体" w:hAnsi="宋体" w:eastAsia="宋体"/>
          <w:sz w:val="24"/>
        </w:rPr>
        <w:t>M.M.扎斯拉夫斯基编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水土保持农业技术措施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M.M.扎斯拉夫斯基编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本书出售、求购地址：https://www.jiaokey.com/book/detail/12524114.html</w:t>
      </w:r>
    </w:p>
    <w:p>
      <w:r>
        <w:t>更多相关图书推荐：https://www.jiaokey.com</w:t>
      </w:r>
    </w:p>
    <w:p>
      <w:r>
        <w:t>M.M.扎斯拉夫斯基编 其他作品：https://www.jiaokey.com/tag/M.M.扎斯拉夫斯基编.html</w:t>
      </w:r>
    </w:p>
    <w:p>
      <w:r>
        <w:t>关键词搜索：https://www.jiaokey.com/tag/水土保持农业技术措施.html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