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制空论</w:t>
      </w:r>
    </w:p>
    <w:p>
      <w:r>
        <w:rPr>
          <w:rFonts w:ascii="宋体" w:hAnsi="宋体" w:eastAsia="宋体"/>
          <w:sz w:val="24"/>
        </w:rPr>
        <w:t>（意）杜黑著；冯德彪，游崇鼎译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（意）杜黑著；冯德彪，游崇鼎译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本书出售、求购地址：https://www.jiaokey.com/book/detail/12516651.html</w:t>
      </w:r>
    </w:p>
    <w:p>
      <w:r>
        <w:t>更多相关图书推荐：https://www.jiaokey.com</w:t>
      </w:r>
    </w:p>
    <w:p>
      <w:r>
        <w:t>（意）杜黑著；冯德彪，游崇鼎译 其他作品：https://www.jiaokey.com/tag/（意）杜黑著；冯德彪，游崇鼎译.html</w:t>
      </w:r>
    </w:p>
    <w:p>
      <w:r>
        <w:t>青年书店 出版图书：https://www.jiaokey.com/tag/青年书店.html</w:t>
      </w:r>
    </w:p>
    <w:p>
      <w:r>
        <w:t>关键词搜索：https://www.jiaokey.com/tag/制空论.html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