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客观规律与主观能动性</w:t>
      </w:r>
    </w:p>
    <w:p>
      <w:r>
        <w:rPr>
          <w:rFonts w:ascii="宋体" w:hAnsi="宋体" w:eastAsia="宋体"/>
          <w:sz w:val="24"/>
        </w:rPr>
        <w:t>吕鸿儒，廖春景，张培强编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客观规律与主观能动性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吕鸿儒，廖春景，张培强编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本书出售、求购地址：https://www.jiaokey.com/book/detail/12516342.html</w:t>
      </w:r>
    </w:p>
    <w:p>
      <w:r>
        <w:t>更多相关图书推荐：https://www.jiaokey.com</w:t>
      </w:r>
    </w:p>
    <w:p>
      <w:r>
        <w:t>吕鸿儒，廖春景，张培强编 其他作品：https://www.jiaokey.com/tag/吕鸿儒，廖春景，张培强编.html</w:t>
      </w:r>
    </w:p>
    <w:p>
      <w:r>
        <w:t>河南人民出版社 出版图书：https://www.jiaokey.com/tag/河南人民出版社.html</w:t>
      </w:r>
    </w:p>
    <w:p>
      <w:r>
        <w:t>关键词搜索：https://www.jiaokey.com/tag/客观规律与主观能动性.html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