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高中新课程教学策略与备课指南  思想政治必修  1</w:t>
      </w:r>
    </w:p>
    <w:p>
      <w:r>
        <w:rPr>
          <w:rFonts w:ascii="宋体" w:hAnsi="宋体" w:eastAsia="宋体"/>
          <w:sz w:val="24"/>
        </w:rPr>
        <w:t>田国生，李宏亮主编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高中新课程教学策略与备课指南  思想政治必修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田国生，李宏亮主编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北京：龙门书局；北京：科学出版社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本书出售、求购地址：https://www.jiaokey.com/book/detail/12514185.html</w:t>
      </w:r>
    </w:p>
    <w:p>
      <w:r>
        <w:t>更多相关图书推荐：https://www.jiaokey.com</w:t>
      </w:r>
    </w:p>
    <w:p>
      <w:r>
        <w:t>田国生，李宏亮主编 其他作品：https://www.jiaokey.com/tag/田国生，李宏亮主编.html</w:t>
      </w:r>
    </w:p>
    <w:p>
      <w:r>
        <w:t>北京：龙门书局；北京：科学出版社 出版图书：https://www.jiaokey.com/tag/北京：龙门书局；北京：科学出版社.html</w:t>
      </w:r>
    </w:p>
    <w:p>
      <w:r>
        <w:t>关键词搜索：https://www.jiaokey.com/tag/高中新课程教学策略与备课指南  思想政治必修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