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钓鱼台列屿之法律地位</w:t>
      </w:r>
    </w:p>
    <w:p>
      <w:r>
        <w:rPr>
          <w:rFonts w:ascii="宋体" w:hAnsi="宋体" w:eastAsia="宋体"/>
          <w:sz w:val="24"/>
        </w:rPr>
        <w:t>程家瑞主编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钓鱼台列屿之法律地位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本书出售、求购地址：https://www.jiaokey.com/book/detail/12513926.html</w:t>
      </w:r>
    </w:p>
    <w:p>
      <w:r>
        <w:t>更多相关图书推荐：https://www.jiaokey.com</w:t>
      </w:r>
    </w:p>
    <w:p>
      <w:r>
        <w:t>程家瑞主编 其他作品：https://www.jiaokey.com/tag/程家瑞主编.html</w:t>
      </w:r>
    </w:p>
    <w:p>
      <w:r>
        <w:t>东吴大学法学院 出版图书：https://www.jiaokey.com/tag/东吴大学法学院.html</w:t>
      </w:r>
    </w:p>
    <w:p>
      <w:r>
        <w:t>关键词搜索：https://www.jiaokey.com/tag/钓鱼台列屿之法律地位.html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