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工业区位决定之数理分析</w:t>
      </w:r>
    </w:p>
    <w:p>
      <w:r>
        <w:rPr>
          <w:rFonts w:ascii="宋体" w:hAnsi="宋体" w:eastAsia="宋体"/>
          <w:sz w:val="24"/>
        </w:rPr>
        <w:t>郑林宽著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工业区位决定之数理分析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私立福建协和大学农学院农报编辑委员会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本书出售、求购地址：https://www.jiaokey.com/book/detail/12503904.html</w:t>
      </w:r>
    </w:p>
    <w:p>
      <w:r>
        <w:t>更多相关图书推荐：https://www.jiaokey.com</w:t>
      </w:r>
    </w:p>
    <w:p>
      <w:r>
        <w:t>郑林宽著 其他作品：https://www.jiaokey.com/tag/郑林宽著.html</w:t>
      </w:r>
    </w:p>
    <w:p>
      <w:r>
        <w:t>私立福建协和大学农学院农报编辑委员会 出版图书：https://www.jiaokey.com/tag/私立福建协和大学农学院农报编辑委员会.html</w:t>
      </w:r>
    </w:p>
    <w:p>
      <w:r>
        <w:t>关键词搜索：https://www.jiaokey.com/tag/工业区位决定之数理分析.html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