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基本概念和当前问题</w:t>
      </w:r>
    </w:p>
    <w:p>
      <w:r>
        <w:rPr>
          <w:rFonts w:ascii="宋体" w:hAnsi="宋体" w:eastAsia="宋体"/>
          <w:sz w:val="24"/>
        </w:rPr>
        <w:t>（美）罗伯特·L.赫特著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基本概念和当前问题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本书出售、求购地址：https://www.jiaokey.com/book/detail/12503063.html</w:t>
      </w:r>
    </w:p>
    <w:p>
      <w:r>
        <w:t>更多相关图书推荐：https://www.jiaokey.com</w:t>
      </w:r>
    </w:p>
    <w:p>
      <w:r>
        <w:t>（美）罗伯特·L.赫特著 其他作品：https://www.jiaokey.com/tag/（美）罗伯特·L.赫特著.html</w:t>
      </w:r>
    </w:p>
    <w:p>
      <w:r>
        <w:t>财经大学出版社 出版图书：https://www.jiaokey.com/tag/财经大学出版社.html</w:t>
      </w:r>
    </w:p>
    <w:p>
      <w:r>
        <w:t>关键词搜索：https://www.jiaokey.com/tag/会计信息系统  基本概念和当前问题.html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