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美国何以能击溃日本  美日国力之对比</w:t>
      </w:r>
    </w:p>
    <w:p>
      <w:r>
        <w:rPr>
          <w:rFonts w:ascii="宋体" w:hAnsi="宋体" w:eastAsia="宋体"/>
          <w:sz w:val="24"/>
        </w:rPr>
        <w:t>艾丁编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美国何以能击溃日本  美日国力之对比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南京夜极印剧郡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本书出售、求购地址：https://www.jiaokey.com/book/detail/12500363.html</w:t>
      </w:r>
    </w:p>
    <w:p>
      <w:r>
        <w:t>更多相关图书推荐：https://www.jiaokey.com</w:t>
      </w:r>
    </w:p>
    <w:p>
      <w:r>
        <w:t>艾丁编 其他作品：https://www.jiaokey.com/tag/艾丁编.html</w:t>
      </w:r>
    </w:p>
    <w:p>
      <w:r>
        <w:t>南京夜极印剧郡 出版图书：https://www.jiaokey.com/tag/南京夜极印剧郡.html</w:t>
      </w:r>
    </w:p>
    <w:p>
      <w:r>
        <w:t>关键词搜索：https://www.jiaokey.com/tag/美国何以能击溃日本  美日国力之对比.html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