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微型计算机应用指南</w:t>
      </w:r>
    </w:p>
    <w:p>
      <w:r>
        <w:rPr>
          <w:rFonts w:ascii="宋体" w:hAnsi="宋体" w:eastAsia="宋体"/>
          <w:sz w:val="24"/>
        </w:rPr>
        <w:t>张厥标，朱沈华，王鹤龙编译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张厥标，朱沈华，王鹤龙编译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《计算机时代》编辑部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本书出售、求购地址：https://www.jiaokey.com/book/detail/12492075.html</w:t>
      </w:r>
    </w:p>
    <w:p>
      <w:r>
        <w:t>更多相关图书推荐：https://www.jiaokey.com</w:t>
      </w:r>
    </w:p>
    <w:p>
      <w:r>
        <w:t>张厥标，朱沈华，王鹤龙编译 其他作品：https://www.jiaokey.com/tag/张厥标，朱沈华，王鹤龙编译.html</w:t>
      </w:r>
    </w:p>
    <w:p>
      <w:r>
        <w:t>《计算机时代》编辑部 出版图书：https://www.jiaokey.com/tag/《计算机时代》编辑部.html</w:t>
      </w:r>
    </w:p>
    <w:p>
      <w:r>
        <w:t>关键词搜索：https://www.jiaokey.com/tag/微型计算机应用指南.html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