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高级柴油引擎  基本原理保护及修理</w:t>
      </w:r>
    </w:p>
    <w:p>
      <w:r>
        <w:rPr>
          <w:rFonts w:ascii="宋体" w:hAnsi="宋体" w:eastAsia="宋体"/>
          <w:sz w:val="24"/>
        </w:rPr>
        <w:t>王鹤楼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高级柴油引擎  基本原理保护及修理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本书出售、求购地址：https://www.jiaokey.com/book/detail/12490377.html</w:t>
      </w:r>
    </w:p>
    <w:p>
      <w:r>
        <w:t>更多相关图书推荐：https://www.jiaokey.com</w:t>
      </w:r>
    </w:p>
    <w:p>
      <w:r>
        <w:t>王鹤楼 其他作品：https://www.jiaokey.com/tag/王鹤楼.html</w:t>
      </w:r>
    </w:p>
    <w:p>
      <w:r>
        <w:t>台湾：徐氏基金会出版社 出版图书：https://www.jiaokey.com/tag/台湾：徐氏基金会出版社.html</w:t>
      </w:r>
    </w:p>
    <w:p>
      <w:r>
        <w:t>关键词搜索：https://www.jiaokey.com/tag/高级柴油引擎  基本原理保护及修理.html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