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主要农作物种子分级标准及检验办法（试行草案）</w:t>
      </w:r>
    </w:p>
    <w:p>
      <w:r>
        <w:rPr>
          <w:rFonts w:ascii="宋体" w:hAnsi="宋体" w:eastAsia="宋体"/>
          <w:sz w:val="24"/>
        </w:rPr>
        <w:t>广东农林学院农学系遗传育种教研组编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主要农作物种子分级标准及检验办法（试行草案）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广东农林学院农学系遗传育种教研组编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本书出售、求购地址：https://www.jiaokey.com/book/detail/12489255.html</w:t>
      </w:r>
    </w:p>
    <w:p>
      <w:r>
        <w:t>更多相关图书推荐：https://www.jiaokey.com</w:t>
      </w:r>
    </w:p>
    <w:p>
      <w:r>
        <w:t>广东农林学院农学系遗传育种教研组编 其他作品：https://www.jiaokey.com/tag/广东农林学院农学系遗传育种教研组编.html</w:t>
      </w:r>
    </w:p>
    <w:p>
      <w:r>
        <w:t>关键词搜索：https://www.jiaokey.com/tag/主要农作物种子分级标准及检验办法（试行草案）.html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