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中国税收调控：原理·目标·实践</w:t>
      </w:r>
    </w:p>
    <w:p>
      <w:r>
        <w:rPr>
          <w:rFonts w:ascii="宋体" w:hAnsi="宋体" w:eastAsia="宋体"/>
          <w:sz w:val="24"/>
        </w:rPr>
        <w:t>卢仁法等著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中国税收调控：原理·目标·实践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本书出售、求购地址：https://www.jiaokey.com/book/detail/12485035.html</w:t>
      </w:r>
    </w:p>
    <w:p>
      <w:r>
        <w:t>更多相关图书推荐：https://www.jiaokey.com</w:t>
      </w:r>
    </w:p>
    <w:p>
      <w:r>
        <w:t>卢仁法等著 其他作品：https://www.jiaokey.com/tag/卢仁法等著.html</w:t>
      </w:r>
    </w:p>
    <w:p>
      <w:r>
        <w:t>关键词搜索：https://www.jiaokey.com/tag/中国税收调控：原理·目标·实践.html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