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异质型人力资本与经济增长理论及实证研究</w:t>
      </w:r>
    </w:p>
    <w:p>
      <w:r>
        <w:rPr>
          <w:rFonts w:ascii="宋体" w:hAnsi="宋体" w:eastAsia="宋体"/>
          <w:sz w:val="24"/>
        </w:rPr>
        <w:t>魏立萍著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异质型人力资本与经济增长理论及实证研究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本书出售、求购地址：https://www.jiaokey.com/book/detail/12484868.html</w:t>
      </w:r>
    </w:p>
    <w:p>
      <w:r>
        <w:t>更多相关图书推荐：https://www.jiaokey.com</w:t>
      </w:r>
    </w:p>
    <w:p>
      <w:r>
        <w:t>魏立萍著 其他作品：https://www.jiaokey.com/tag/魏立萍著.html</w:t>
      </w:r>
    </w:p>
    <w:p>
      <w:r>
        <w:t>关键词搜索：https://www.jiaokey.com/tag/异质型人力资本与经济增长理论及实证研究.html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