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中国异常现象研究与“三W”真像</w:t>
      </w:r>
    </w:p>
    <w:p>
      <w:r>
        <w:rPr>
          <w:rFonts w:ascii="宋体" w:hAnsi="宋体" w:eastAsia="宋体"/>
          <w:sz w:val="24"/>
        </w:rPr>
        <w:t>中国科协伪科学典型案例调查课题组编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中国异常现象研究与“三W”真像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中国科协伪科学典型案例调查课题组编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本书出售、求购地址：https://www.jiaokey.com/book/detail/12484586.html</w:t>
      </w:r>
    </w:p>
    <w:p>
      <w:r>
        <w:t>更多相关图书推荐：https://www.jiaokey.com</w:t>
      </w:r>
    </w:p>
    <w:p>
      <w:r>
        <w:t>中国科协伪科学典型案例调查课题组编 其他作品：https://www.jiaokey.com/tag/中国科协伪科学典型案例调查课题组编.html</w:t>
      </w:r>
    </w:p>
    <w:p>
      <w:r>
        <w:t>关键词搜索：https://www.jiaokey.com/tag/中国异常现象研究与“三W”真像.html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