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工业产品的技术经济设计指南和实例 西德工业标准VDI2225 第1分册</w:t>
      </w:r>
    </w:p>
    <w:p>
      <w:r>
        <w:rPr>
          <w:rFonts w:ascii="宋体" w:hAnsi="宋体" w:eastAsia="宋体"/>
          <w:sz w:val="24"/>
        </w:rPr>
        <w:t>李景才译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工业产品的技术经济设计指南和实例 西德工业标准VDI2225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本书出售、求购地址：https://www.jiaokey.com/book/detail/12480177.html</w:t>
      </w:r>
    </w:p>
    <w:p>
      <w:r>
        <w:t>更多相关图书推荐：https://www.jiaokey.com</w:t>
      </w:r>
    </w:p>
    <w:p>
      <w:r>
        <w:t>李景才译 其他作品：https://www.jiaokey.com/tag/李景才译.html</w:t>
      </w:r>
    </w:p>
    <w:p>
      <w:r>
        <w:t>一机部机床研究所 出版图书：https://www.jiaokey.com/tag/一机部机床研究所.html</w:t>
      </w:r>
    </w:p>
    <w:p>
      <w:r>
        <w:t>关键词搜索：https://www.jiaokey.com/tag/工业产品的技术经济设计指南和实例 西德工业标准VDI2225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