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银行存款通货数量及其流通速率计算法商权</w:t>
      </w:r>
    </w:p>
    <w:p>
      <w:r>
        <w:rPr>
          <w:rFonts w:ascii="宋体" w:hAnsi="宋体" w:eastAsia="宋体"/>
          <w:sz w:val="24"/>
        </w:rPr>
        <w:t>财政部币制研究委员会编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银行存款通货数量及其流通速率计算法商权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财政部币制研究委员会编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本书出售、求购地址：https://www.jiaokey.com/book/detail/12478916.html</w:t>
      </w:r>
    </w:p>
    <w:p>
      <w:r>
        <w:t>更多相关图书推荐：https://www.jiaokey.com</w:t>
      </w:r>
    </w:p>
    <w:p>
      <w:r>
        <w:t>财政部币制研究委员会编 其他作品：https://www.jiaokey.com/tag/财政部币制研究委员会编.html</w:t>
      </w:r>
    </w:p>
    <w:p>
      <w:r>
        <w:t>关键词搜索：https://www.jiaokey.com/tag/银行存款通货数量及其流通速率计算法商权.html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