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国内客车车型手册</w:t>
      </w:r>
    </w:p>
    <w:p>
      <w:r>
        <w:rPr>
          <w:rFonts w:ascii="宋体" w:hAnsi="宋体" w:eastAsia="宋体"/>
          <w:sz w:val="24"/>
        </w:rPr>
        <w:t>中国汽车技术研究中心，客车经济与技术信息网编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国内客车车型手册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中国汽车技术研究中心，客车经济与技术信息网编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本书出售、求购地址：https://www.jiaokey.com/book/detail/12475911.html</w:t>
      </w:r>
    </w:p>
    <w:p>
      <w:r>
        <w:t>更多相关图书推荐：https://www.jiaokey.com</w:t>
      </w:r>
    </w:p>
    <w:p>
      <w:r>
        <w:t>中国汽车技术研究中心，客车经济与技术信息网编 其他作品：https://www.jiaokey.com/tag/中国汽车技术研究中心，客车经济与技术信息网编.html</w:t>
      </w:r>
    </w:p>
    <w:p>
      <w:r>
        <w:t>关键词搜索：https://www.jiaokey.com/tag/国内客车车型手册.html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