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就业引论</w:t>
      </w:r>
    </w:p>
    <w:p>
      <w:r>
        <w:rPr>
          <w:rFonts w:ascii="宋体" w:hAnsi="宋体" w:eastAsia="宋体"/>
          <w:sz w:val="24"/>
        </w:rPr>
        <w:t>（英）罗苹荪著；杨桂和译；樊弘校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就业引论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（英）罗苹荪著；杨桂和译；樊弘校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中国农民银行经济研究处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本书出售、求购地址：https://www.jiaokey.com/book/detail/12475003.html</w:t>
      </w:r>
    </w:p>
    <w:p>
      <w:r>
        <w:t>更多相关图书推荐：https://www.jiaokey.com</w:t>
      </w:r>
    </w:p>
    <w:p>
      <w:r>
        <w:t>（英）罗苹荪著；杨桂和译；樊弘校 其他作品：https://www.jiaokey.com/tag/（英）罗苹荪著；杨桂和译；樊弘校.html</w:t>
      </w:r>
    </w:p>
    <w:p>
      <w:r>
        <w:t>中国农民银行经济研究处 出版图书：https://www.jiaokey.com/tag/中国农民银行经济研究处.html</w:t>
      </w:r>
    </w:p>
    <w:p>
      <w:r>
        <w:t>关键词搜索：https://www.jiaokey.com/tag/就业引论.html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