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联合报五十年  民国四十年至九十年</w:t>
      </w:r>
    </w:p>
    <w:p>
      <w:r>
        <w:rPr>
          <w:rFonts w:ascii="宋体" w:hAnsi="宋体" w:eastAsia="宋体"/>
          <w:sz w:val="24"/>
        </w:rPr>
        <w:t>涂明君，康锦卿，陈海淑编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联合报五十年  民国四十年至九十年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涂明君，康锦卿，陈海淑编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本书出售、求购地址：https://www.jiaokey.com/book/detail/12474002.html</w:t>
      </w:r>
    </w:p>
    <w:p>
      <w:r>
        <w:t>更多相关图书推荐：https://www.jiaokey.com</w:t>
      </w:r>
    </w:p>
    <w:p>
      <w:r>
        <w:t>涂明君，康锦卿，陈海淑编 其他作品：https://www.jiaokey.com/tag/涂明君，康锦卿，陈海淑编.html</w:t>
      </w:r>
    </w:p>
    <w:p>
      <w:r>
        <w:t>聊合报社 出版图书：https://www.jiaokey.com/tag/聊合报社.html</w:t>
      </w:r>
    </w:p>
    <w:p>
      <w:r>
        <w:t>关键词搜索：https://www.jiaokey.com/tag/联合报五十年  民国四十年至九十年.html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