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民法基本原则解释：成文法局限性之克服</w:t>
      </w:r>
    </w:p>
    <w:p>
      <w:r>
        <w:rPr>
          <w:rFonts w:ascii="宋体" w:hAnsi="宋体" w:eastAsia="宋体"/>
          <w:sz w:val="24"/>
        </w:rPr>
        <w:t>徐国栋著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民法基本原则解释：成文法局限性之克服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本书出售、求购地址：https://www.jiaokey.com/book/detail/12473583.html</w:t>
      </w:r>
    </w:p>
    <w:p>
      <w:r>
        <w:t>更多相关图书推荐：https://www.jiaokey.com</w:t>
      </w:r>
    </w:p>
    <w:p>
      <w:r>
        <w:t>徐国栋著 其他作品：https://www.jiaokey.com/tag/徐国栋著.html</w:t>
      </w:r>
    </w:p>
    <w:p>
      <w:r>
        <w:t>关键词搜索：https://www.jiaokey.com/tag/民法基本原则解释：成文法局限性之克服.html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