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神话溯源：女娲伏羲神话的源头及其哲学意义</w:t>
      </w:r>
    </w:p>
    <w:p>
      <w:r>
        <w:rPr>
          <w:rFonts w:ascii="宋体" w:hAnsi="宋体" w:eastAsia="宋体"/>
          <w:sz w:val="24"/>
        </w:rPr>
        <w:t>傅小凡， 杜明富著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神话溯源：女娲伏羲神话的源头及其哲学意义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傅小凡， 杜明富著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本书出售、求购地址：https://www.jiaokey.com/book/detail/12469321.html</w:t>
      </w:r>
    </w:p>
    <w:p>
      <w:r>
        <w:t>更多相关图书推荐：https://www.jiaokey.com</w:t>
      </w:r>
    </w:p>
    <w:p>
      <w:r>
        <w:t>傅小凡， 杜明富著 其他作品：https://www.jiaokey.com/tag/傅小凡， 杜明富著.html</w:t>
      </w:r>
    </w:p>
    <w:p>
      <w:r>
        <w:t>甘肃人民美术出版社 出版图书：https://www.jiaokey.com/tag/甘肃人民美术出版社.html</w:t>
      </w:r>
    </w:p>
    <w:p>
      <w:r>
        <w:t>关键词搜索：https://www.jiaokey.com/tag/神话溯源：女娲伏羲神话的源头及其哲学意义.html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