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兽医微生物学实验指导</w:t>
      </w:r>
    </w:p>
    <w:p>
      <w:r>
        <w:rPr>
          <w:rFonts w:ascii="宋体" w:hAnsi="宋体" w:eastAsia="宋体"/>
          <w:sz w:val="24"/>
        </w:rPr>
        <w:t>（苏）库兹明（В.В.Кузьмин），伊凡契可夫（М.Ф.Иванчиков）等著；杜念兴，蔡宝祥译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（苏）库兹明（В.В.Кузьмин），伊凡契可夫（М.Ф.Иванчиков）等著；杜念兴，蔡宝祥译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本书出售、求购地址：https://www.jiaokey.com/book/detail/12466850.html</w:t>
      </w:r>
    </w:p>
    <w:p>
      <w:r>
        <w:t>更多相关图书推荐：https://www.jiaokey.com</w:t>
      </w:r>
    </w:p>
    <w:p>
      <w:r>
        <w:t>（苏）库兹明（В.В.Кузьмин），伊凡契可夫（М.Ф.Иванчиков）等著；杜念兴，蔡宝祥译 其他作品：https://www.jiaokey.com/tag/（苏）库兹明（В.В.Кузьмин），伊凡契可夫（М.Ф.Иванчиков）等著；杜念兴，蔡宝祥译.html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