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西丰事件后  中国企业家成长中的一部警世恒言</w:t>
      </w:r>
    </w:p>
    <w:p>
      <w:r>
        <w:rPr>
          <w:rFonts w:ascii="宋体" w:hAnsi="宋体" w:eastAsia="宋体"/>
          <w:sz w:val="24"/>
        </w:rPr>
        <w:t>肖黎明，阮加文主编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西丰事件后  中国企业家成长中的一部警世恒言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肖黎明，阮加文主编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本书出售、求购地址：https://www.jiaokey.com/book/detail/12449102.html</w:t>
      </w:r>
    </w:p>
    <w:p>
      <w:r>
        <w:t>更多相关图书推荐：https://www.jiaokey.com</w:t>
      </w:r>
    </w:p>
    <w:p>
      <w:r>
        <w:t>肖黎明，阮加文主编 其他作品：https://www.jiaokey.com/tag/肖黎明，阮加文主编.html</w:t>
      </w:r>
    </w:p>
    <w:p>
      <w:r>
        <w:t>法律出版社 出版图书：https://www.jiaokey.com/tag/法律出版社.html</w:t>
      </w:r>
    </w:p>
    <w:p>
      <w:r>
        <w:t>关键词搜索：https://www.jiaokey.com/tag/西丰事件后  中国企业家成长中的一部警世恒言.html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