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《上海博物馆藏战国楚竹书（四）》疑难字研究</w:t>
      </w:r>
    </w:p>
    <w:p>
      <w:r>
        <w:rPr>
          <w:rFonts w:ascii="宋体" w:hAnsi="宋体" w:eastAsia="宋体"/>
          <w:sz w:val="24"/>
        </w:rPr>
        <w:t>金俊秀著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《上海博物馆藏战国楚竹书（四）》疑难字研究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金俊秀著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本书出售、求购地址：https://www.jiaokey.com/book/detail/12447299.html</w:t>
      </w:r>
    </w:p>
    <w:p>
      <w:r>
        <w:t>更多相关图书推荐：https://www.jiaokey.com</w:t>
      </w:r>
    </w:p>
    <w:p>
      <w:r>
        <w:t>金俊秀著 其他作品：https://www.jiaokey.com/tag/金俊秀著.html</w:t>
      </w:r>
    </w:p>
    <w:p>
      <w:r>
        <w:t>台湾：花木兰文化出版社 出版图书：https://www.jiaokey.com/tag/台湾：花木兰文化出版社.html</w:t>
      </w:r>
    </w:p>
    <w:p>
      <w:r>
        <w:t>关键词搜索：https://www.jiaokey.com/tag/《上海博物馆藏战国楚竹书（四）》疑难字研究.html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