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田园都市</w:t>
      </w:r>
    </w:p>
    <w:p>
      <w:r>
        <w:rPr>
          <w:rFonts w:ascii="宋体" w:hAnsi="宋体" w:eastAsia="宋体"/>
          <w:sz w:val="24"/>
        </w:rPr>
        <w:t>日本内务省地方局编；云南昆明市政公所译；张维瀚译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日本内务省地方局编；云南昆明市政公所译；张维瀚译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本书出售、求购地址：https://www.jiaokey.com/book/detail/12444876.html</w:t>
      </w:r>
    </w:p>
    <w:p>
      <w:r>
        <w:t>更多相关图书推荐：https://www.jiaokey.com</w:t>
      </w:r>
    </w:p>
    <w:p>
      <w:r>
        <w:t>日本内务省地方局编；云南昆明市政公所译；张维瀚译 其他作品：https://www.jiaokey.com/tag/日本内务省地方局编；云南昆明市政公所译；张维瀚译.html</w:t>
      </w:r>
    </w:p>
    <w:p>
      <w:r>
        <w:t>华通书局 出版图书：https://www.jiaokey.com/tag/华通书局.html</w:t>
      </w:r>
    </w:p>
    <w:p>
      <w:r>
        <w:t>关键词搜索：https://www.jiaokey.com/tag/田园都市.html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