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宁波慈城冯氏研究  冯骥才卷</w:t>
      </w:r>
    </w:p>
    <w:p>
      <w:r>
        <w:rPr>
          <w:rFonts w:ascii="宋体" w:hAnsi="宋体" w:eastAsia="宋体"/>
          <w:sz w:val="24"/>
        </w:rPr>
        <w:t>孔宇主编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宁波慈城冯氏研究  冯骥才卷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江北区文学艺术界联合会慈城冯氏研究会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本书出售、求购地址：https://www.jiaokey.com/book/detail/12434257.html</w:t>
      </w:r>
    </w:p>
    <w:p>
      <w:r>
        <w:t>更多相关图书推荐：https://www.jiaokey.com</w:t>
      </w:r>
    </w:p>
    <w:p>
      <w:r>
        <w:t>孔宇主编 其他作品：https://www.jiaokey.com/tag/孔宇主编.html</w:t>
      </w:r>
    </w:p>
    <w:p>
      <w:r>
        <w:t>江北区文学艺术界联合会慈城冯氏研究会 出版图书：https://www.jiaokey.com/tag/江北区文学艺术界联合会慈城冯氏研究会.html</w:t>
      </w:r>
    </w:p>
    <w:p>
      <w:r>
        <w:t>关键词搜索：https://www.jiaokey.com/tag/宁波慈城冯氏研究  冯骥才卷.html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