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不立文字·不离文字  宋代禅宗概说</w:t>
      </w:r>
    </w:p>
    <w:p>
      <w:r>
        <w:rPr>
          <w:rFonts w:ascii="宋体" w:hAnsi="宋体" w:eastAsia="宋体"/>
          <w:sz w:val="24"/>
        </w:rPr>
        <w:t>水月斋主人编著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不立文字·不离文字  宋代禅宗概说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水月斋主人编著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台北县中和市久佑达文化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本书出售、求购地址：https://www.jiaokey.com/book/detail/12433455.html</w:t>
      </w:r>
    </w:p>
    <w:p>
      <w:r>
        <w:t>更多相关图书推荐：https://www.jiaokey.com</w:t>
      </w:r>
    </w:p>
    <w:p>
      <w:r>
        <w:t>水月斋主人编著 其他作品：https://www.jiaokey.com/tag/水月斋主人编著.html</w:t>
      </w:r>
    </w:p>
    <w:p>
      <w:r>
        <w:t>台北县中和市久佑达文化 出版图书：https://www.jiaokey.com/tag/台北县中和市久佑达文化.html</w:t>
      </w:r>
    </w:p>
    <w:p>
      <w:r>
        <w:t>关键词搜索：https://www.jiaokey.com/tag/不立文字·不离文字  宋代禅宗概说.html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