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走向二十一世纪的贵州产业结构</w:t>
      </w:r>
    </w:p>
    <w:p>
      <w:r>
        <w:rPr>
          <w:rFonts w:ascii="宋体" w:hAnsi="宋体" w:eastAsia="宋体"/>
          <w:sz w:val="24"/>
        </w:rPr>
        <w:t>石争，王干梅主编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走向二十一世纪的贵州产业结构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石争，王干梅主编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本书出售、求购地址：https://www.jiaokey.com/book/detail/12426929.html</w:t>
      </w:r>
    </w:p>
    <w:p>
      <w:r>
        <w:t>更多相关图书推荐：https://www.jiaokey.com</w:t>
      </w:r>
    </w:p>
    <w:p>
      <w:r>
        <w:t>石争，王干梅主编 其他作品：https://www.jiaokey.com/tag/石争，王干梅主编.html</w:t>
      </w:r>
    </w:p>
    <w:p>
      <w:r>
        <w:t>关键词搜索：https://www.jiaokey.com/tag/走向二十一世纪的贵州产业结构.html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