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书名：落后与发展  铜仁地区跨世纪经济发展战略探讨</w:t>
      </w:r>
    </w:p>
    <w:p>
      <w:r>
        <w:t>作者：申振东，杨昌刚编著</w:t>
      </w:r>
    </w:p>
    <w:p>
      <w:r>
        <w:t>出版社：贵阳：贵州教育出版社</w:t>
      </w:r>
    </w:p>
    <w:p>
      <w:r>
        <w:t>出版日期：2000.12</w:t>
      </w:r>
    </w:p>
    <w:p>
      <w:r>
        <w:t>总页数：120</w:t>
      </w:r>
    </w:p>
    <w:p>
      <w:r>
        <w:t>更多请访问教客网: www.jiaokey.com</w:t>
      </w:r>
    </w:p>
    <w:p>
      <w:r>
        <w:t>落后与发展  铜仁地区跨世纪经济发展战略探讨 评论地址：https://www.jiaokey.com/book/detail/12426743.html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