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书名：设立小金库和使用小金库款项违纪行为适用《中国共产党纪律处分条例》若干问题的解释</w:t>
      </w:r>
    </w:p>
    <w:p>
      <w:r>
        <w:t>作者：《设立“小金库”和使用“小金库”款项违纪行为适用&lt;中国共产党纪律处分条例&gt;若干问题的解释》编写组编</w:t>
      </w:r>
    </w:p>
    <w:p>
      <w:r>
        <w:t>出版社：北京：中国方正出版社</w:t>
      </w:r>
    </w:p>
    <w:p>
      <w:r>
        <w:t>出版日期：2009.08</w:t>
      </w:r>
    </w:p>
    <w:p>
      <w:r>
        <w:t>总页数：33</w:t>
      </w:r>
    </w:p>
    <w:p>
      <w:r>
        <w:t>更多请访问教客网: www.jiaokey.com</w:t>
      </w:r>
    </w:p>
    <w:p>
      <w:r>
        <w:t>设立小金库和使用小金库款项违纪行为适用《中国共产党纪律处分条例》若干问题的解释 评论地址：https://www.jiaokey.com/book/detail/12425110.html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