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曹丕集校注</w:t>
      </w:r>
    </w:p>
    <w:p>
      <w:r>
        <w:rPr>
          <w:rFonts w:ascii="宋体" w:hAnsi="宋体" w:eastAsia="宋体"/>
          <w:sz w:val="24"/>
        </w:rPr>
        <w:t>魏宏灿校注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曹丕集校注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古典文学-注释-中国-三国时代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本书出售、求购地址：https://www.jiaokey.com/book/detail/12424663.html</w:t>
      </w:r>
    </w:p>
    <w:p>
      <w:r>
        <w:t>更多相关图书推荐：https://www.jiaokey.com</w:t>
      </w:r>
    </w:p>
    <w:p>
      <w:r>
        <w:t>魏宏灿校注 其他作品：https://www.jiaokey.com/tag/魏宏灿校注.html</w:t>
      </w:r>
    </w:p>
    <w:p>
      <w:r>
        <w:t>合肥:安徽大学出版社,2009.10 出版图书：https://www.jiaokey.com/tag/合肥:安徽大学出版社,2009.10.html</w:t>
      </w:r>
    </w:p>
    <w:p>
      <w:r>
        <w:t>关键词搜索：https://www.jiaokey.com/tag/古典文学-注释-中国-三国时代.html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