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千年黄河要变清  相声</w:t>
      </w:r>
    </w:p>
    <w:p>
      <w:r>
        <w:rPr>
          <w:rFonts w:ascii="宋体" w:hAnsi="宋体" w:eastAsia="宋体"/>
          <w:sz w:val="24"/>
        </w:rPr>
        <w:t>张玉堂，傅广禄著；工人文艺社编辑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千年黄河要变清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张玉堂，傅广禄著；工人文艺社编辑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本书出售、求购地址：https://www.jiaokey.com/book/detail/12417418.html</w:t>
      </w:r>
    </w:p>
    <w:p>
      <w:r>
        <w:t>更多相关图书推荐：https://www.jiaokey.com</w:t>
      </w:r>
    </w:p>
    <w:p>
      <w:r>
        <w:t>张玉堂，傅广禄著；工人文艺社编辑 其他作品：https://www.jiaokey.com/tag/张玉堂，傅广禄著；工人文艺社编辑.html</w:t>
      </w:r>
    </w:p>
    <w:p>
      <w:r>
        <w:t>长安书店 出版图书：https://www.jiaokey.com/tag/长安书店.html</w:t>
      </w:r>
    </w:p>
    <w:p>
      <w:r>
        <w:t>关键词搜索：https://www.jiaokey.com/tag/千年黄河要变清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