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剑桥艺术史u300017世纪艺术</w:t>
      </w:r>
    </w:p>
    <w:p>
      <w:r>
        <w:rPr>
          <w:rFonts w:ascii="宋体" w:hAnsi="宋体" w:eastAsia="宋体"/>
          <w:sz w:val="24"/>
        </w:rPr>
        <w:t>（英）玛德琳和罗兰德·梅因斯通著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剑桥艺术史u300017世纪艺术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（英）玛德琳和罗兰德·梅因斯通著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本书出售、求购地址：https://www.jiaokey.com/book/detail/12414058.html</w:t>
      </w:r>
    </w:p>
    <w:p>
      <w:r>
        <w:t>更多相关图书推荐：https://www.jiaokey.com</w:t>
      </w:r>
    </w:p>
    <w:p>
      <w:r>
        <w:t>（英）玛德琳和罗兰德·梅因斯通著 其他作品：https://www.jiaokey.com/tag/（英）玛德琳和罗兰德·梅因斯通著.html</w:t>
      </w:r>
    </w:p>
    <w:p>
      <w:r>
        <w:t>关键词搜索：https://www.jiaokey.com/tag/剑桥艺术史u300017世纪艺术.html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