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玉米的生物学特性和杂交育种</w:t>
      </w:r>
    </w:p>
    <w:p>
      <w:r>
        <w:rPr>
          <w:rFonts w:ascii="宋体" w:hAnsi="宋体" w:eastAsia="宋体"/>
          <w:sz w:val="24"/>
        </w:rPr>
        <w:t>（苏）列瓦诺娃（Т.А.Леванова）等著；刘秦，李竟雄编辑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玉米的生物学特性和杂交育种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（苏）列瓦诺娃（Т.А.Леванова）等著；刘秦，李竟雄编辑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本书出售、求购地址：https://www.jiaokey.com/book/detail/12407103.html</w:t>
      </w:r>
    </w:p>
    <w:p>
      <w:r>
        <w:t>更多相关图书推荐：https://www.jiaokey.com</w:t>
      </w:r>
    </w:p>
    <w:p>
      <w:r>
        <w:t>（苏）列瓦诺娃（Т.А.Леванова）等著；刘秦，李竟雄编辑 其他作品：https://www.jiaokey.com/tag/（苏）列瓦诺娃（Т.А.Леванова）等著；刘秦，李竟雄编辑.html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关键词搜索：https://www.jiaokey.com/tag/玉米的生物学特性和杂交育种.html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