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遗传性与生活力问题</w:t>
      </w:r>
    </w:p>
    <w:p>
      <w:r>
        <w:rPr>
          <w:rFonts w:ascii="宋体" w:hAnsi="宋体" w:eastAsia="宋体"/>
          <w:sz w:val="24"/>
        </w:rPr>
        <w:t>（苏联）雷日科夫（рымеов，в.л.）等著；南文元等译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遗传性与生活力问题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（苏联）雷日科夫（рымеов，в.л.）等著；南文元等译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本书出售、求购地址：https://www.jiaokey.com/book/detail/12406732.html</w:t>
      </w:r>
    </w:p>
    <w:p>
      <w:r>
        <w:t>更多相关图书推荐：https://www.jiaokey.com</w:t>
      </w:r>
    </w:p>
    <w:p>
      <w:r>
        <w:t>（苏联）雷日科夫（рымеов，в.л.）等著；南文元等译 其他作品：https://www.jiaokey.com/tag/（苏联）雷日科夫（рымеов，в.л.）等著；南文元等译.html</w:t>
      </w:r>
    </w:p>
    <w:p>
      <w:r>
        <w:t>沈阳农学院科学研究室 出版图书：https://www.jiaokey.com/tag/沈阳农学院科学研究室.html</w:t>
      </w:r>
    </w:p>
    <w:p>
      <w:r>
        <w:t>关键词搜索：https://www.jiaokey.com/tag/遗传性与生活力问题.html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