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十年来厦门的潮汐  民国十五年至廿四年</w:t>
      </w:r>
    </w:p>
    <w:p>
      <w:r>
        <w:rPr>
          <w:rFonts w:ascii="宋体" w:hAnsi="宋体" w:eastAsia="宋体"/>
          <w:sz w:val="24"/>
        </w:rPr>
        <w:t>金德祥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十年来厦门的潮汐  民国十五年至廿四年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厦门大学理学院海产生物研究场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本书出售、求购地址：https://www.jiaokey.com/book/detail/12403180.html</w:t>
      </w:r>
    </w:p>
    <w:p>
      <w:r>
        <w:t>更多相关图书推荐：https://www.jiaokey.com</w:t>
      </w:r>
    </w:p>
    <w:p>
      <w:r>
        <w:t>金德祥 其他作品：https://www.jiaokey.com/tag/金德祥.html</w:t>
      </w:r>
    </w:p>
    <w:p>
      <w:r>
        <w:t>厦门大学理学院海产生物研究场 出版图书：https://www.jiaokey.com/tag/厦门大学理学院海产生物研究场.html</w:t>
      </w:r>
    </w:p>
    <w:p>
      <w:r>
        <w:t>关键词搜索：https://www.jiaokey.com/tag/十年来厦门的潮汐  民国十五年至廿四年.html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