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以智慧财产权为担保标的之融资方式探讨</w:t>
      </w:r>
    </w:p>
    <w:p>
      <w:r>
        <w:rPr>
          <w:rFonts w:ascii="宋体" w:hAnsi="宋体" w:eastAsia="宋体"/>
          <w:sz w:val="24"/>
        </w:rPr>
        <w:t>陈业鑫著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以智慧财产权为担保标的之融资方式探讨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本书出售、求购地址：https://www.jiaokey.com/book/detail/12403155.html</w:t>
      </w:r>
    </w:p>
    <w:p>
      <w:r>
        <w:t>更多相关图书推荐：https://www.jiaokey.com</w:t>
      </w:r>
    </w:p>
    <w:p>
      <w:r>
        <w:t>陈业鑫著 其他作品：https://www.jiaokey.com/tag/陈业鑫著.html</w:t>
      </w:r>
    </w:p>
    <w:p>
      <w:r>
        <w:t>司法院 出版图书：https://www.jiaokey.com/tag/司法院.html</w:t>
      </w:r>
    </w:p>
    <w:p>
      <w:r>
        <w:t>关键词搜索：https://www.jiaokey.com/tag/以智慧财产权为担保标的之融资方式探讨.html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