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金融稳定目标下的资本账户开发研究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金融稳定目标下的资本账户开发研究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本书出售、求购地址：https://www.jiaokey.com/book/detail/12400145.html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关键词搜索：https://www.jiaokey.com/tag/金融稳定目标下的资本账户开发研究.html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