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痕量元素的分光光度测定</w:t>
      </w:r>
    </w:p>
    <w:p>
      <w:r>
        <w:rPr>
          <w:rFonts w:ascii="宋体" w:hAnsi="宋体" w:eastAsia="宋体"/>
          <w:sz w:val="24"/>
        </w:rPr>
        <w:t>Z.马钦柯著；丘星初译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痕量元素的分光光度测定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Z.马钦柯著；丘星初译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江西省赣州地区农业科学研究所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本书出售、求购地址：https://www.jiaokey.com/book/detail/12397912.html</w:t>
      </w:r>
    </w:p>
    <w:p>
      <w:r>
        <w:t>更多相关图书推荐：https://www.jiaokey.com</w:t>
      </w:r>
    </w:p>
    <w:p>
      <w:r>
        <w:t>Z.马钦柯著；丘星初译 其他作品：https://www.jiaokey.com/tag/Z.马钦柯著；丘星初译.html</w:t>
      </w:r>
    </w:p>
    <w:p>
      <w:r>
        <w:t>江西省赣州地区农业科学研究所 出版图书：https://www.jiaokey.com/tag/江西省赣州地区农业科学研究所.html</w:t>
      </w:r>
    </w:p>
    <w:p>
      <w:r>
        <w:t>关键词搜索：https://www.jiaokey.com/tag/痕量元素的分光光度测定.html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