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快速确定水泥活性细则（И205-55/МСПМХП）</w:t>
      </w:r>
    </w:p>
    <w:p>
      <w:r>
        <w:rPr>
          <w:rFonts w:ascii="宋体" w:hAnsi="宋体" w:eastAsia="宋体"/>
          <w:sz w:val="24"/>
        </w:rPr>
        <w:t>俞忠辉译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快速确定水泥活性细则（И205-55/МСПМХП）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本书出售、求购地址：https://www.jiaokey.com/book/detail/12397799.html</w:t>
      </w:r>
    </w:p>
    <w:p>
      <w:r>
        <w:t>更多相关图书推荐：https://www.jiaokey.com</w:t>
      </w:r>
    </w:p>
    <w:p>
      <w:r>
        <w:t>俞忠辉译 其他作品：https://www.jiaokey.com/tag/俞忠辉译.html</w:t>
      </w:r>
    </w:p>
    <w:p>
      <w:r>
        <w:t>基本建设出版社 出版图书：https://www.jiaokey.com/tag/基本建设出版社.html</w:t>
      </w:r>
    </w:p>
    <w:p>
      <w:r>
        <w:t>关键词搜索：https://www.jiaokey.com/tag/快速确定水泥活性细则（И205-55/МСПМХП）.html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