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钢的热处理</w:t>
      </w:r>
    </w:p>
    <w:p>
      <w:r>
        <w:rPr>
          <w:rFonts w:ascii="宋体" w:hAnsi="宋体" w:eastAsia="宋体"/>
          <w:sz w:val="24"/>
        </w:rPr>
        <w:t>（苏）古里亚耶夫（А.П.Гуляев）著；东北工学院金相热处理教研组译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（苏）古里亚耶夫（А.П.Гуляев）著；东北工学院金相热处理教研组译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本书出售、求购地址：https://www.jiaokey.com/book/detail/12397743.html</w:t>
      </w:r>
    </w:p>
    <w:p>
      <w:r>
        <w:t>更多相关图书推荐：https://www.jiaokey.com</w:t>
      </w:r>
    </w:p>
    <w:p>
      <w:r>
        <w:t>（苏）古里亚耶夫（А.П.Гуляев）著；东北工学院金相热处理教研组译 其他作品：https://www.jiaokey.com/tag/（苏）古里亚耶夫（А.П.Гуляев）著；东北工学院金相热处理教研组译.html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关键词搜索：https://www.jiaokey.com/tag/钢的热处理.html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