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第2分册</w:t>
      </w:r>
    </w:p>
    <w:p>
      <w:r>
        <w:rPr>
          <w:rFonts w:ascii="宋体" w:hAnsi="宋体" w:eastAsia="宋体"/>
          <w:sz w:val="24"/>
        </w:rPr>
        <w:t>理论、材料、建筑力学教研组合编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理论、材料、建筑力学教研组合编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华南工学院教务处出版科印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本书出售、求购地址：https://www.jiaokey.com/book/detail/12397332.html</w:t>
      </w:r>
    </w:p>
    <w:p>
      <w:r>
        <w:t>更多相关图书推荐：https://www.jiaokey.com</w:t>
      </w:r>
    </w:p>
    <w:p>
      <w:r>
        <w:t>理论、材料、建筑力学教研组合编 其他作品：https://www.jiaokey.com/tag/理论、材料、建筑力学教研组合编.html</w:t>
      </w:r>
    </w:p>
    <w:p>
      <w:r>
        <w:t>华南工学院教务处出版科印 出版图书：https://www.jiaokey.com/tag/华南工学院教务处出版科印.html</w:t>
      </w:r>
    </w:p>
    <w:p>
      <w:r>
        <w:t>关键词搜索：https://www.jiaokey.com/tag/建筑力学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