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经济全球化背景下所得税制的发展趋势与法律对策研究  第二届中日韩税法国际讨会论文选（2007）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经济全球化背景下所得税制的发展趋势与法律对策研究  第二届中日韩税法国际讨会论文选（2007）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所得税-税法-世界-文集-所得税-税法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本书出售、求购地址：https://www.jiaokey.com/book/detail/12396055.html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北京:中国税务出版社,2009.09 出版图书：https://www.jiaokey.com/tag/北京:中国税务出版社,2009.09.html</w:t>
      </w:r>
    </w:p>
    <w:p>
      <w:r>
        <w:t>关键词搜索：https://www.jiaokey.com/tag/所得税-税法-世界-文集-所得税-税法.html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