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城市天际线塑造与管理控制方法研究  泉州城市特色天际线的延续与整体发展</w:t>
      </w:r>
    </w:p>
    <w:p>
      <w:r>
        <w:rPr>
          <w:rFonts w:ascii="宋体" w:hAnsi="宋体" w:eastAsia="宋体"/>
          <w:sz w:val="24"/>
        </w:rPr>
        <w:t>泉州市城乡规划局，德国ISA意厦国际设计集团，泉州市城市规划设计研究院编著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城市天际线塑造与管理控制方法研究  泉州城市特色天际线的延续与整体发展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泉州市城乡规划局，德国ISA意厦国际设计集团，泉州市城市规划设计研究院编著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本书出售、求购地址：https://www.jiaokey.com/book/detail/12395164.html</w:t>
      </w:r>
    </w:p>
    <w:p>
      <w:r>
        <w:t>更多相关图书推荐：https://www.jiaokey.com</w:t>
      </w:r>
    </w:p>
    <w:p>
      <w:r>
        <w:t>泉州市城乡规划局，德国ISA意厦国际设计集团，泉州市城市规划设计研究院编著 其他作品：https://www.jiaokey.com/tag/泉州市城乡规划局，德国ISA意厦国际设计集团，泉州市城市规划设计研究院编著.html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关键词搜索：https://www.jiaokey.com/tag/城市天际线塑造与管理控制方法研究  泉州城市特色天际线的延续与整体发展.html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