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当代资本主义所有制结构研究</w:t>
      </w:r>
    </w:p>
    <w:p>
      <w:r>
        <w:rPr>
          <w:rFonts w:ascii="宋体" w:hAnsi="宋体" w:eastAsia="宋体"/>
          <w:sz w:val="24"/>
        </w:rPr>
        <w:t>张彤玉，崔学东，李春磊著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当代资本主义所有制结构研究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张彤玉，崔学东，李春磊著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本书出售、求购地址：https://www.jiaokey.com/book/detail/12393133.html</w:t>
      </w:r>
    </w:p>
    <w:p>
      <w:r>
        <w:t>更多相关图书推荐：https://www.jiaokey.com</w:t>
      </w:r>
    </w:p>
    <w:p>
      <w:r>
        <w:t>张彤玉，崔学东，李春磊著 其他作品：https://www.jiaokey.com/tag/张彤玉，崔学东，李春磊著.html</w:t>
      </w:r>
    </w:p>
    <w:p>
      <w:r>
        <w:t>经济科学出版社 出版图书：https://www.jiaokey.com/tag/经济科学出版社.html</w:t>
      </w:r>
    </w:p>
    <w:p>
      <w:r>
        <w:t>关键词搜索：https://www.jiaokey.com/tag/当代资本主义所有制结构研究.html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