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水工结构  下</w:t>
      </w:r>
    </w:p>
    <w:p>
      <w:r>
        <w:rPr>
          <w:rFonts w:ascii="宋体" w:hAnsi="宋体" w:eastAsia="宋体"/>
          <w:sz w:val="24"/>
        </w:rPr>
        <w:t>П.И.戈尔剑科讲；清华大学水工结构教研组译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П.И.戈尔剑科讲；清华大学水工结构教研组译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本书出售、求购地址：https://www.jiaokey.com/book/detail/12391515.html</w:t>
      </w:r>
    </w:p>
    <w:p>
      <w:r>
        <w:t>更多相关图书推荐：https://www.jiaokey.com</w:t>
      </w:r>
    </w:p>
    <w:p>
      <w:r>
        <w:t>П.И.戈尔剑科讲；清华大学水工结构教研组译 其他作品：https://www.jiaokey.com/tag/П.И.戈尔剑科讲；清华大学水工结构教研组译.html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关键词搜索：https://www.jiaokey.com/tag/水工结构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